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品牌客户登录我司广告销售小程序进行报备。登录方式详见：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报备品牌的上刊发布画面及相关资料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单方原因导致画面审核不通过的，不予签订合同，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不予退还；画面审核通过的，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可签订相关合同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报备成功后，所签合同暂未生效的，如需更换报备品牌，须另行支付保证金，此前已支付的保证金不予退还；报备成功后，所签合同已生效的，如需更换报备品牌，需提前终止已生效合同，报备单位赔偿我司1个月广告发布费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报备成功的所有品牌均未与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九、相关媒体资源点位图详见百度网盘，链接为：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"https://pan.baidu.com/s/1TXN_DWJiONGpvmEcmvH9Hg，提取码为:1111。"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https://pan.baidu.com/s/1TXN_DWJiONGpvmEcmvH9Hg，提取码为:1111。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十、合福线10站灯箱媒体，涉及无为站、巢湖东站、长临河站的，报备事宜联系安徽广告分公司，其余车站联系江苏广告分公司；杭台高铁闸机贴、</w:t>
      </w:r>
      <w:r>
        <w:rPr>
          <w:rFonts w:hint="eastAsia" w:ascii="仿宋" w:hAnsi="仿宋" w:eastAsia="仿宋" w:cs="仿宋"/>
          <w:sz w:val="28"/>
          <w:szCs w:val="28"/>
        </w:rPr>
        <w:t>乐清站玻璃贴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长兴站玻璃贴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杭州南站滚动灯箱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永康南站滚动灯箱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报备事宜联系浙江广告分公司。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11E5A"/>
    <w:multiLevelType w:val="singleLevel"/>
    <w:tmpl w:val="CD211E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2530E5B"/>
    <w:rsid w:val="4412264D"/>
    <w:rsid w:val="45A302D6"/>
    <w:rsid w:val="484A7DC8"/>
    <w:rsid w:val="48EB31CA"/>
    <w:rsid w:val="49A435D5"/>
    <w:rsid w:val="4FFB2105"/>
    <w:rsid w:val="502A5FFB"/>
    <w:rsid w:val="51365ED9"/>
    <w:rsid w:val="516530A0"/>
    <w:rsid w:val="518F1117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763</Words>
  <Characters>859</Characters>
  <Lines>6</Lines>
  <Paragraphs>1</Paragraphs>
  <TotalTime>3</TotalTime>
  <ScaleCrop>false</ScaleCrop>
  <LinksUpToDate>false</LinksUpToDate>
  <CharactersWithSpaces>859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2022-05-17T07:42:58Z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8F3B616F3A334B8B9E25C77B5F3B8210</vt:lpwstr>
  </property>
</Properties>
</file>