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一、有广告投放意向的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stwgyxzx@qq.com。品牌客户进行采购时，原则上优先确认报备。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二、本次销售报备以“先到先得”的原则，按照邮件收到时间、报备品牌、报备点位排序进行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牌只接受一家报备。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报备品牌为必填项，且须具体明确，自报备成功日起至实际上刊日止不得变更——同一品牌旗下的不同画面可换刊。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金，每个点位5000元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展位媒体及黑豆媒体为5万元/个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。报备者在收到报备确认后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以邮件形式予以确认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报备成功后，若需更换报备品牌的，需另行支付保证金，且此前已支付的保证金不予退还。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、报备成功者在报备成功后10个工作日内需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报备品牌的上刊发布画面及相关资料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画面需经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报备成功者单方原因导致画面审核不通过的，不予签订合同，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不予退还；画面审核通过的，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可签订相关广告承揽合同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、报备者报备成功的所有品牌若均未与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司实质签订广告发布承揽合同的，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在之后两年不再接受该代理商的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七、报备者报备成功并</w:t>
      </w:r>
      <w:r>
        <w:rPr>
          <w:rFonts w:hint="eastAsia" w:ascii="仿宋" w:hAnsi="仿宋" w:eastAsia="仿宋" w:cs="仿宋"/>
          <w:sz w:val="28"/>
          <w:szCs w:val="28"/>
        </w:rPr>
        <w:t>签订广告发布承揽合同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若所涉媒体</w:t>
      </w:r>
      <w:r>
        <w:rPr>
          <w:rFonts w:hint="eastAsia" w:ascii="仿宋" w:hAnsi="仿宋" w:eastAsia="仿宋" w:cs="仿宋"/>
          <w:sz w:val="28"/>
          <w:szCs w:val="28"/>
        </w:rPr>
        <w:t>进入招商程序，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八、本次公告的媒体资源销售信息，实际空余点位信息将由我司在百度网盘中实时更新，百度网盘链接为：https://pan.baidu.com/s/1TXN_DWJiONGpvmEcmvH9Hg，提取码为:1111。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、本次媒体销售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报备签约开始日期为2022年1月1日至2022年12月31日。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10ED43B5"/>
    <w:rsid w:val="128C10DD"/>
    <w:rsid w:val="1A132CD8"/>
    <w:rsid w:val="1BC72927"/>
    <w:rsid w:val="1BD47A3F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3EF94C76"/>
    <w:rsid w:val="4412264D"/>
    <w:rsid w:val="45A302D6"/>
    <w:rsid w:val="48EB31CA"/>
    <w:rsid w:val="49A435D5"/>
    <w:rsid w:val="4FFB2105"/>
    <w:rsid w:val="51365ED9"/>
    <w:rsid w:val="516530A0"/>
    <w:rsid w:val="518F1117"/>
    <w:rsid w:val="51D8453B"/>
    <w:rsid w:val="566321F0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2</TotalTime>
  <ScaleCrop>false</ScaleCrop>
  <LinksUpToDate>false</LinksUpToDate>
  <CharactersWithSpaces>871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2021-12-29T03:07:19Z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8F3B616F3A334B8B9E25C77B5F3B8210</vt:lpwstr>
  </property>
</Properties>
</file>